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22B78" w14:textId="634692DE" w:rsidR="00992D7B" w:rsidRDefault="00992D7B" w:rsidP="00992D7B">
      <w:pPr>
        <w:spacing w:after="30"/>
        <w:rPr>
          <w:rFonts w:ascii="Calibri" w:eastAsia="Calibri" w:hAnsi="Calibri" w:cs="Calibri"/>
          <w:b/>
          <w:bCs/>
          <w:color w:val="000000"/>
        </w:rPr>
      </w:pPr>
      <w:r>
        <w:rPr>
          <w:rFonts w:ascii="Calibri" w:eastAsia="Calibri" w:hAnsi="Calibri" w:cs="Calibri"/>
          <w:b/>
          <w:bCs/>
          <w:color w:val="000000"/>
        </w:rPr>
        <w:t xml:space="preserve">Policy Proposal: Eliminate the existing dismissal </w:t>
      </w:r>
      <w:r w:rsidR="00447D43">
        <w:rPr>
          <w:rFonts w:ascii="Calibri" w:eastAsia="Calibri" w:hAnsi="Calibri" w:cs="Calibri"/>
          <w:b/>
          <w:bCs/>
          <w:color w:val="000000"/>
        </w:rPr>
        <w:t>stipulation</w:t>
      </w:r>
      <w:r>
        <w:rPr>
          <w:rFonts w:ascii="Calibri" w:eastAsia="Calibri" w:hAnsi="Calibri" w:cs="Calibri"/>
          <w:b/>
          <w:bCs/>
          <w:color w:val="000000"/>
        </w:rPr>
        <w:t xml:space="preserve"> for transfer students who are admitted to YSU with restrictions to ensure YSU’s academic standing policy applies equally to all students. </w:t>
      </w:r>
    </w:p>
    <w:p w14:paraId="4ADA7508" w14:textId="77777777" w:rsidR="00992D7B" w:rsidRDefault="00992D7B" w:rsidP="00992D7B">
      <w:pPr>
        <w:spacing w:after="0"/>
        <w:rPr>
          <w:rFonts w:ascii="Calibri" w:eastAsia="Calibri" w:hAnsi="Calibri" w:cs="Calibri"/>
        </w:rPr>
      </w:pPr>
    </w:p>
    <w:p w14:paraId="39C896F6" w14:textId="684DD3E0" w:rsidR="00992D7B" w:rsidRDefault="00992D7B" w:rsidP="00992D7B">
      <w:pPr>
        <w:spacing w:after="30"/>
        <w:rPr>
          <w:rFonts w:ascii="Calibri" w:eastAsia="Calibri" w:hAnsi="Calibri" w:cs="Calibri"/>
          <w:color w:val="000000"/>
        </w:rPr>
      </w:pPr>
      <w:r>
        <w:rPr>
          <w:rFonts w:ascii="Calibri" w:eastAsia="Calibri" w:hAnsi="Calibri" w:cs="Calibri"/>
          <w:b/>
          <w:bCs/>
          <w:color w:val="000000"/>
        </w:rPr>
        <w:t xml:space="preserve">Proposal Overview: </w:t>
      </w:r>
    </w:p>
    <w:p w14:paraId="5F543A26" w14:textId="77777777" w:rsidR="00992D7B" w:rsidRPr="003B4160" w:rsidRDefault="00992D7B" w:rsidP="00992D7B">
      <w:pPr>
        <w:spacing w:after="30"/>
        <w:rPr>
          <w:rFonts w:ascii="Calibri" w:eastAsia="Calibri" w:hAnsi="Calibri" w:cs="Calibri"/>
          <w:color w:val="000000"/>
        </w:rPr>
      </w:pPr>
    </w:p>
    <w:p w14:paraId="3DBB28AB" w14:textId="3A1BC791" w:rsidR="00FC68DB" w:rsidRPr="00FC68DB" w:rsidRDefault="007B7D7E" w:rsidP="00FC68DB">
      <w:pPr>
        <w:spacing w:after="30"/>
        <w:rPr>
          <w:rFonts w:ascii="Calibri" w:eastAsia="Calibri" w:hAnsi="Calibri" w:cs="Calibri"/>
          <w:color w:val="000000"/>
        </w:rPr>
      </w:pPr>
      <w:r>
        <w:rPr>
          <w:rFonts w:ascii="Calibri" w:eastAsia="Calibri" w:hAnsi="Calibri" w:cs="Calibri"/>
          <w:color w:val="000000"/>
        </w:rPr>
        <w:t>The “</w:t>
      </w:r>
      <w:r>
        <w:rPr>
          <w:rFonts w:ascii="Calibri" w:eastAsia="Calibri" w:hAnsi="Calibri" w:cs="Calibri"/>
          <w:color w:val="000000"/>
        </w:rPr>
        <w:t>New Freshman Applicants</w:t>
      </w:r>
      <w:r>
        <w:rPr>
          <w:rFonts w:ascii="Calibri" w:eastAsia="Calibri" w:hAnsi="Calibri" w:cs="Calibri"/>
          <w:color w:val="000000"/>
        </w:rPr>
        <w:t>”</w:t>
      </w:r>
      <w:r>
        <w:rPr>
          <w:rFonts w:ascii="Calibri" w:eastAsia="Calibri" w:hAnsi="Calibri" w:cs="Calibri"/>
          <w:color w:val="000000"/>
        </w:rPr>
        <w:t xml:space="preserve"> section of the Undergraduate Catalog, </w:t>
      </w:r>
      <w:r>
        <w:rPr>
          <w:rFonts w:ascii="Calibri" w:eastAsia="Calibri" w:hAnsi="Calibri" w:cs="Calibri"/>
          <w:color w:val="000000"/>
        </w:rPr>
        <w:t xml:space="preserve">specifically </w:t>
      </w:r>
      <w:r>
        <w:rPr>
          <w:rFonts w:ascii="Calibri" w:eastAsia="Calibri" w:hAnsi="Calibri" w:cs="Calibri"/>
          <w:color w:val="000000"/>
        </w:rPr>
        <w:t xml:space="preserve">#6 </w:t>
      </w:r>
      <w:r w:rsidR="006A2DAE">
        <w:rPr>
          <w:rFonts w:ascii="Calibri" w:eastAsia="Calibri" w:hAnsi="Calibri" w:cs="Calibri"/>
          <w:color w:val="000000"/>
        </w:rPr>
        <w:t xml:space="preserve">in the Transfer Students section </w:t>
      </w:r>
      <w:r>
        <w:rPr>
          <w:rFonts w:ascii="Calibri" w:eastAsia="Calibri" w:hAnsi="Calibri" w:cs="Calibri"/>
          <w:color w:val="000000"/>
        </w:rPr>
        <w:t>below</w:t>
      </w:r>
      <w:r w:rsidR="00834349">
        <w:rPr>
          <w:rFonts w:ascii="Calibri" w:eastAsia="Calibri" w:hAnsi="Calibri" w:cs="Calibri"/>
          <w:color w:val="000000"/>
        </w:rPr>
        <w:t xml:space="preserve"> (excerpt 1)</w:t>
      </w:r>
      <w:r>
        <w:rPr>
          <w:rFonts w:ascii="Calibri" w:eastAsia="Calibri" w:hAnsi="Calibri" w:cs="Calibri"/>
          <w:color w:val="000000"/>
        </w:rPr>
        <w:t xml:space="preserve">, stipulates that </w:t>
      </w:r>
      <w:r w:rsidR="008D4F1C">
        <w:rPr>
          <w:rFonts w:ascii="Calibri" w:eastAsia="Calibri" w:hAnsi="Calibri" w:cs="Calibri"/>
          <w:color w:val="000000"/>
        </w:rPr>
        <w:t>conditionally admitted transfer students</w:t>
      </w:r>
      <w:r w:rsidR="00992D7B">
        <w:rPr>
          <w:rFonts w:ascii="Calibri" w:eastAsia="Calibri" w:hAnsi="Calibri" w:cs="Calibri"/>
          <w:color w:val="000000"/>
        </w:rPr>
        <w:t xml:space="preserve"> are subject to academic dismissal after one semester</w:t>
      </w:r>
      <w:r>
        <w:rPr>
          <w:rFonts w:ascii="Calibri" w:eastAsia="Calibri" w:hAnsi="Calibri" w:cs="Calibri"/>
          <w:color w:val="000000"/>
        </w:rPr>
        <w:t xml:space="preserve">. </w:t>
      </w:r>
      <w:r w:rsidR="00C85299">
        <w:rPr>
          <w:rFonts w:ascii="Calibri" w:eastAsia="Calibri" w:hAnsi="Calibri" w:cs="Calibri"/>
          <w:color w:val="000000"/>
        </w:rPr>
        <w:t xml:space="preserve"> This stipulation applies to no other </w:t>
      </w:r>
      <w:r w:rsidR="000D6CE2">
        <w:rPr>
          <w:rFonts w:ascii="Calibri" w:eastAsia="Calibri" w:hAnsi="Calibri" w:cs="Calibri"/>
          <w:color w:val="000000"/>
        </w:rPr>
        <w:t xml:space="preserve">category of admitted </w:t>
      </w:r>
      <w:r w:rsidR="00C85299">
        <w:rPr>
          <w:rFonts w:ascii="Calibri" w:eastAsia="Calibri" w:hAnsi="Calibri" w:cs="Calibri"/>
          <w:color w:val="000000"/>
        </w:rPr>
        <w:t>students</w:t>
      </w:r>
      <w:r w:rsidR="00FC68DB">
        <w:rPr>
          <w:rFonts w:ascii="Calibri" w:eastAsia="Calibri" w:hAnsi="Calibri" w:cs="Calibri"/>
          <w:color w:val="000000"/>
        </w:rPr>
        <w:t xml:space="preserve">, and contradicts the </w:t>
      </w:r>
      <w:r w:rsidR="00C85299" w:rsidRPr="003B4160">
        <w:rPr>
          <w:rFonts w:ascii="Calibri" w:eastAsia="Calibri" w:hAnsi="Calibri" w:cs="Calibri"/>
          <w:color w:val="000000"/>
        </w:rPr>
        <w:t xml:space="preserve">academic standing policy </w:t>
      </w:r>
      <w:r w:rsidR="00C85299">
        <w:rPr>
          <w:rFonts w:ascii="Calibri" w:eastAsia="Calibri" w:hAnsi="Calibri" w:cs="Calibri"/>
          <w:color w:val="000000"/>
        </w:rPr>
        <w:t>as stated in the “Academic eligibility” of the Catalog</w:t>
      </w:r>
      <w:r w:rsidR="00E454E7">
        <w:rPr>
          <w:rFonts w:ascii="Calibri" w:eastAsia="Calibri" w:hAnsi="Calibri" w:cs="Calibri"/>
          <w:color w:val="000000"/>
        </w:rPr>
        <w:t xml:space="preserve"> (excerpt 2)</w:t>
      </w:r>
      <w:r w:rsidR="00FC68DB">
        <w:rPr>
          <w:rFonts w:ascii="Calibri" w:eastAsia="Calibri" w:hAnsi="Calibri" w:cs="Calibri"/>
          <w:color w:val="000000"/>
        </w:rPr>
        <w:t>.  T</w:t>
      </w:r>
      <w:r w:rsidR="00575901">
        <w:rPr>
          <w:rFonts w:ascii="Calibri" w:eastAsia="Calibri" w:hAnsi="Calibri" w:cs="Calibri"/>
          <w:color w:val="000000"/>
        </w:rPr>
        <w:t>his policy proposal seeks to eliminate th</w:t>
      </w:r>
      <w:r w:rsidR="002E3159">
        <w:rPr>
          <w:rFonts w:ascii="Calibri" w:eastAsia="Calibri" w:hAnsi="Calibri" w:cs="Calibri"/>
          <w:color w:val="000000"/>
        </w:rPr>
        <w:t xml:space="preserve">e </w:t>
      </w:r>
      <w:r w:rsidR="00575901">
        <w:rPr>
          <w:rFonts w:ascii="Calibri" w:eastAsia="Calibri" w:hAnsi="Calibri" w:cs="Calibri"/>
          <w:color w:val="000000"/>
        </w:rPr>
        <w:t>dismissal statement for conditionally admitted transfer students</w:t>
      </w:r>
      <w:r w:rsidR="00FC68DB">
        <w:rPr>
          <w:rFonts w:ascii="Calibri" w:eastAsia="Calibri" w:hAnsi="Calibri" w:cs="Calibri"/>
          <w:color w:val="000000"/>
        </w:rPr>
        <w:t xml:space="preserve"> to ensure </w:t>
      </w:r>
      <w:r w:rsidR="00FC68DB" w:rsidRPr="00FC68DB">
        <w:rPr>
          <w:rFonts w:ascii="Calibri" w:eastAsia="Calibri" w:hAnsi="Calibri" w:cs="Calibri"/>
          <w:color w:val="000000"/>
        </w:rPr>
        <w:t xml:space="preserve">YSU’s academic standing policy applies equally to all students. </w:t>
      </w:r>
      <w:r w:rsidR="000D6CE2">
        <w:rPr>
          <w:rFonts w:ascii="Calibri" w:eastAsia="Calibri" w:hAnsi="Calibri" w:cs="Calibri"/>
          <w:color w:val="000000"/>
        </w:rPr>
        <w:t xml:space="preserve">  No new language is needed. </w:t>
      </w:r>
    </w:p>
    <w:p w14:paraId="6F8CE237" w14:textId="77777777" w:rsidR="00992D7B" w:rsidRDefault="00992D7B" w:rsidP="00992D7B">
      <w:pPr>
        <w:spacing w:after="30"/>
        <w:rPr>
          <w:rFonts w:ascii="Calibri" w:eastAsia="Calibri" w:hAnsi="Calibri" w:cs="Calibri"/>
          <w:color w:val="000000"/>
          <w:sz w:val="20"/>
          <w:szCs w:val="20"/>
        </w:rPr>
      </w:pPr>
    </w:p>
    <w:p w14:paraId="43E678EC" w14:textId="31A097E7" w:rsidR="00834349" w:rsidRPr="00834349" w:rsidRDefault="00834349" w:rsidP="00992D7B">
      <w:pPr>
        <w:spacing w:after="30"/>
        <w:rPr>
          <w:rFonts w:ascii="Calibri" w:eastAsia="Calibri" w:hAnsi="Calibri" w:cs="Calibri"/>
          <w:color w:val="000000"/>
          <w:u w:val="single"/>
        </w:rPr>
      </w:pPr>
      <w:r w:rsidRPr="00834349">
        <w:rPr>
          <w:rFonts w:ascii="Calibri" w:eastAsia="Calibri" w:hAnsi="Calibri" w:cs="Calibri"/>
          <w:color w:val="000000"/>
          <w:u w:val="single"/>
        </w:rPr>
        <w:t>Excerpt 1</w:t>
      </w:r>
    </w:p>
    <w:p w14:paraId="03ECC146" w14:textId="77777777" w:rsidR="00992D7B" w:rsidRPr="00B3721A" w:rsidRDefault="00992D7B" w:rsidP="00992D7B">
      <w:pPr>
        <w:spacing w:after="30"/>
        <w:rPr>
          <w:rFonts w:ascii="Calibri" w:eastAsia="Calibri" w:hAnsi="Calibri" w:cs="Calibri"/>
          <w:b/>
          <w:bCs/>
          <w:i/>
          <w:iCs/>
          <w:color w:val="000000"/>
          <w:sz w:val="20"/>
          <w:szCs w:val="20"/>
        </w:rPr>
      </w:pPr>
      <w:r w:rsidRPr="00B3721A">
        <w:rPr>
          <w:rFonts w:ascii="Calibri" w:eastAsia="Calibri" w:hAnsi="Calibri" w:cs="Calibri"/>
          <w:b/>
          <w:bCs/>
          <w:i/>
          <w:iCs/>
          <w:color w:val="000000"/>
          <w:sz w:val="20"/>
          <w:szCs w:val="20"/>
        </w:rPr>
        <w:t>Transfer Students</w:t>
      </w:r>
    </w:p>
    <w:p w14:paraId="2CBF5B05" w14:textId="77777777" w:rsidR="00992D7B" w:rsidRPr="00B3721A" w:rsidRDefault="00992D7B" w:rsidP="00992D7B">
      <w:pPr>
        <w:spacing w:after="30"/>
        <w:rPr>
          <w:rFonts w:ascii="Calibri" w:eastAsia="Calibri" w:hAnsi="Calibri" w:cs="Calibri"/>
          <w:i/>
          <w:iCs/>
          <w:color w:val="000000"/>
          <w:sz w:val="20"/>
          <w:szCs w:val="20"/>
        </w:rPr>
      </w:pPr>
      <w:r w:rsidRPr="00B3721A">
        <w:rPr>
          <w:rFonts w:ascii="Calibri" w:eastAsia="Calibri" w:hAnsi="Calibri" w:cs="Calibri"/>
          <w:i/>
          <w:iCs/>
          <w:color w:val="000000"/>
          <w:sz w:val="20"/>
          <w:szCs w:val="20"/>
        </w:rPr>
        <w:t>Transfer students with a transfer GPA below 2.00 (out of 4.00) are not eligible for regular admission but may be admitted with conditions after review by the Admissions Committee.</w:t>
      </w:r>
    </w:p>
    <w:p w14:paraId="44139852" w14:textId="77777777" w:rsidR="00992D7B" w:rsidRPr="00B3721A" w:rsidRDefault="00992D7B" w:rsidP="00992D7B">
      <w:pPr>
        <w:spacing w:after="30"/>
        <w:rPr>
          <w:rFonts w:ascii="Calibri" w:eastAsia="Calibri" w:hAnsi="Calibri" w:cs="Calibri"/>
          <w:i/>
          <w:iCs/>
          <w:color w:val="000000"/>
          <w:sz w:val="20"/>
          <w:szCs w:val="20"/>
        </w:rPr>
      </w:pPr>
      <w:r w:rsidRPr="00B3721A">
        <w:rPr>
          <w:rFonts w:ascii="Calibri" w:eastAsia="Calibri" w:hAnsi="Calibri" w:cs="Calibri"/>
          <w:i/>
          <w:iCs/>
          <w:color w:val="000000"/>
          <w:sz w:val="20"/>
          <w:szCs w:val="20"/>
        </w:rPr>
        <w:t>Conditionally admitted transfer students must meet the following requirements:</w:t>
      </w:r>
    </w:p>
    <w:p w14:paraId="3EC762E6" w14:textId="77777777" w:rsidR="00992D7B" w:rsidRPr="00B3721A" w:rsidRDefault="00992D7B" w:rsidP="00992D7B">
      <w:pPr>
        <w:numPr>
          <w:ilvl w:val="0"/>
          <w:numId w:val="1"/>
        </w:numPr>
        <w:spacing w:after="30"/>
        <w:rPr>
          <w:rFonts w:ascii="Calibri" w:eastAsia="Calibri" w:hAnsi="Calibri" w:cs="Calibri"/>
          <w:i/>
          <w:iCs/>
          <w:color w:val="000000"/>
          <w:sz w:val="20"/>
          <w:szCs w:val="20"/>
        </w:rPr>
      </w:pPr>
      <w:r w:rsidRPr="00B3721A">
        <w:rPr>
          <w:rFonts w:ascii="Calibri" w:eastAsia="Calibri" w:hAnsi="Calibri" w:cs="Calibri"/>
          <w:i/>
          <w:iCs/>
          <w:color w:val="000000"/>
          <w:sz w:val="20"/>
          <w:szCs w:val="20"/>
        </w:rPr>
        <w:t>Conditionally admitted transfer students are required to attend a Transfer Student Orientation (TSO); failure to do so will defer admittance to a subsequent semester. Transfer students may meet this requirement by attending a transfer orientation or by completing the online orientation module for transfer students.  </w:t>
      </w:r>
    </w:p>
    <w:p w14:paraId="0229D49F" w14:textId="77777777" w:rsidR="00992D7B" w:rsidRPr="00B3721A" w:rsidRDefault="00992D7B" w:rsidP="00992D7B">
      <w:pPr>
        <w:numPr>
          <w:ilvl w:val="0"/>
          <w:numId w:val="1"/>
        </w:numPr>
        <w:spacing w:after="30"/>
        <w:rPr>
          <w:rFonts w:ascii="Calibri" w:eastAsia="Calibri" w:hAnsi="Calibri" w:cs="Calibri"/>
          <w:i/>
          <w:iCs/>
          <w:color w:val="000000"/>
          <w:sz w:val="20"/>
          <w:szCs w:val="20"/>
        </w:rPr>
      </w:pPr>
      <w:r w:rsidRPr="00B3721A">
        <w:rPr>
          <w:rFonts w:ascii="Calibri" w:eastAsia="Calibri" w:hAnsi="Calibri" w:cs="Calibri"/>
          <w:i/>
          <w:iCs/>
          <w:color w:val="000000"/>
          <w:sz w:val="20"/>
          <w:szCs w:val="20"/>
        </w:rPr>
        <w:t>During their first semester, conditionally admitted transfer students must fulfill a contract with the Resch Academic Success Center, which includes meeting weekly with their academic coach and two times during the term with their academic advisor.</w:t>
      </w:r>
    </w:p>
    <w:p w14:paraId="19CE7AAE" w14:textId="77777777" w:rsidR="00992D7B" w:rsidRPr="00B3721A" w:rsidRDefault="00992D7B" w:rsidP="00992D7B">
      <w:pPr>
        <w:numPr>
          <w:ilvl w:val="0"/>
          <w:numId w:val="1"/>
        </w:numPr>
        <w:spacing w:after="30"/>
        <w:rPr>
          <w:rFonts w:ascii="Calibri" w:eastAsia="Calibri" w:hAnsi="Calibri" w:cs="Calibri"/>
          <w:i/>
          <w:iCs/>
          <w:color w:val="000000"/>
          <w:sz w:val="20"/>
          <w:szCs w:val="20"/>
        </w:rPr>
      </w:pPr>
      <w:r w:rsidRPr="00B3721A">
        <w:rPr>
          <w:rFonts w:ascii="Calibri" w:eastAsia="Calibri" w:hAnsi="Calibri" w:cs="Calibri"/>
          <w:i/>
          <w:iCs/>
          <w:color w:val="000000"/>
          <w:sz w:val="20"/>
          <w:szCs w:val="20"/>
        </w:rPr>
        <w:t>Students placing into ENGL 1541 Fundamentals of College Writing or ENGL 1549 Writing 1 with Support must take these courses in their first semester. Students may not withdraw from these courses unless they make a complete withdrawal from the university.</w:t>
      </w:r>
    </w:p>
    <w:p w14:paraId="2145316B" w14:textId="77777777" w:rsidR="00992D7B" w:rsidRPr="00B3721A" w:rsidRDefault="00992D7B" w:rsidP="00992D7B">
      <w:pPr>
        <w:numPr>
          <w:ilvl w:val="0"/>
          <w:numId w:val="1"/>
        </w:numPr>
        <w:spacing w:after="30"/>
        <w:rPr>
          <w:rFonts w:ascii="Calibri" w:eastAsia="Calibri" w:hAnsi="Calibri" w:cs="Calibri"/>
          <w:i/>
          <w:iCs/>
          <w:color w:val="000000"/>
          <w:sz w:val="20"/>
          <w:szCs w:val="20"/>
        </w:rPr>
      </w:pPr>
      <w:r w:rsidRPr="00B3721A">
        <w:rPr>
          <w:rFonts w:ascii="Calibri" w:eastAsia="Calibri" w:hAnsi="Calibri" w:cs="Calibri"/>
          <w:i/>
          <w:iCs/>
          <w:color w:val="000000"/>
          <w:sz w:val="20"/>
          <w:szCs w:val="20"/>
        </w:rPr>
        <w:t>All conditionally admitted transfer students are to be advised by their college’s professional advisors and not by faculty or departmental advisors.</w:t>
      </w:r>
    </w:p>
    <w:p w14:paraId="768595EF" w14:textId="77777777" w:rsidR="00992D7B" w:rsidRPr="00B3721A" w:rsidRDefault="00992D7B" w:rsidP="00992D7B">
      <w:pPr>
        <w:numPr>
          <w:ilvl w:val="0"/>
          <w:numId w:val="1"/>
        </w:numPr>
        <w:spacing w:after="30"/>
        <w:rPr>
          <w:rFonts w:ascii="Calibri" w:eastAsia="Calibri" w:hAnsi="Calibri" w:cs="Calibri"/>
          <w:i/>
          <w:iCs/>
          <w:color w:val="000000"/>
          <w:sz w:val="20"/>
          <w:szCs w:val="20"/>
        </w:rPr>
      </w:pPr>
      <w:r w:rsidRPr="00B3721A">
        <w:rPr>
          <w:rFonts w:ascii="Calibri" w:eastAsia="Calibri" w:hAnsi="Calibri" w:cs="Calibri"/>
          <w:i/>
          <w:iCs/>
          <w:color w:val="000000"/>
          <w:sz w:val="20"/>
          <w:szCs w:val="20"/>
        </w:rPr>
        <w:t>Conditionally admitted transfer students must receive approval of their course schedule by a college academic advisor and may not make further changes without approval of the advisor.</w:t>
      </w:r>
    </w:p>
    <w:p w14:paraId="7DD5D746" w14:textId="77777777" w:rsidR="00992D7B" w:rsidRPr="003B4160" w:rsidRDefault="00992D7B" w:rsidP="00992D7B">
      <w:pPr>
        <w:numPr>
          <w:ilvl w:val="0"/>
          <w:numId w:val="1"/>
        </w:numPr>
        <w:spacing w:after="30"/>
        <w:rPr>
          <w:rFonts w:ascii="Calibri" w:eastAsia="Calibri" w:hAnsi="Calibri" w:cs="Calibri"/>
          <w:color w:val="000000"/>
        </w:rPr>
      </w:pPr>
      <w:r w:rsidRPr="00B3721A">
        <w:rPr>
          <w:rFonts w:ascii="Calibri" w:eastAsia="Calibri" w:hAnsi="Calibri" w:cs="Calibri"/>
          <w:i/>
          <w:iCs/>
          <w:color w:val="000000"/>
          <w:sz w:val="20"/>
          <w:szCs w:val="20"/>
        </w:rPr>
        <w:t xml:space="preserve">Failure to fulfill the first semester guidelines and achieve good academic standing (a GPA of 2.00 or above) shall result in the conditionally admitted transfer student being dismissed from the university. The student may not be admitted to any other YSU college </w:t>
      </w:r>
      <w:r w:rsidRPr="00991A18">
        <w:rPr>
          <w:rFonts w:ascii="Calibri" w:eastAsia="Calibri" w:hAnsi="Calibri" w:cs="Calibri"/>
          <w:i/>
          <w:iCs/>
          <w:color w:val="000000"/>
        </w:rPr>
        <w:t>until the dismissal period has expired. </w:t>
      </w:r>
      <w:r w:rsidRPr="00991A18">
        <w:rPr>
          <w:rFonts w:ascii="Calibri" w:eastAsia="Calibri" w:hAnsi="Calibri" w:cs="Calibri"/>
          <w:i/>
          <w:iCs/>
          <w:color w:val="000000"/>
        </w:rPr>
        <w:br/>
      </w:r>
      <w:r w:rsidRPr="003B4160">
        <w:rPr>
          <w:rFonts w:ascii="Calibri" w:eastAsia="Calibri" w:hAnsi="Calibri" w:cs="Calibri"/>
          <w:color w:val="000000"/>
        </w:rPr>
        <w:t> </w:t>
      </w:r>
    </w:p>
    <w:p w14:paraId="048BD439" w14:textId="1C5E7EA3" w:rsidR="00992D7B" w:rsidRPr="00834349" w:rsidRDefault="00834349" w:rsidP="00992D7B">
      <w:pPr>
        <w:spacing w:after="30"/>
        <w:ind w:left="360"/>
        <w:rPr>
          <w:rFonts w:ascii="Calibri" w:eastAsia="Calibri" w:hAnsi="Calibri" w:cs="Calibri"/>
          <w:color w:val="000000"/>
          <w:u w:val="single"/>
        </w:rPr>
      </w:pPr>
      <w:r w:rsidRPr="00834349">
        <w:rPr>
          <w:rFonts w:ascii="Calibri" w:eastAsia="Calibri" w:hAnsi="Calibri" w:cs="Calibri"/>
          <w:color w:val="000000"/>
          <w:u w:val="single"/>
        </w:rPr>
        <w:t>Excerpt 2</w:t>
      </w:r>
    </w:p>
    <w:p w14:paraId="03594901" w14:textId="77777777" w:rsidR="00992D7B" w:rsidRPr="00B3721A" w:rsidRDefault="00992D7B" w:rsidP="00992D7B">
      <w:pPr>
        <w:spacing w:after="30"/>
        <w:ind w:left="360"/>
        <w:rPr>
          <w:rFonts w:ascii="Calibri" w:eastAsia="Calibri" w:hAnsi="Calibri" w:cs="Calibri"/>
          <w:i/>
          <w:iCs/>
          <w:color w:val="000000"/>
          <w:sz w:val="20"/>
          <w:szCs w:val="20"/>
        </w:rPr>
      </w:pPr>
      <w:r w:rsidRPr="00B3721A">
        <w:rPr>
          <w:rFonts w:ascii="Calibri" w:eastAsia="Calibri" w:hAnsi="Calibri" w:cs="Calibri"/>
          <w:i/>
          <w:iCs/>
          <w:color w:val="000000"/>
          <w:sz w:val="20"/>
          <w:szCs w:val="20"/>
        </w:rPr>
        <w:t xml:space="preserve">Academic standing is based upon the total earned credit hours completed, including accepted transfer hours. Therefore, all new undergraduates begin with an enrollment status of eligible and earn an academic standing </w:t>
      </w:r>
      <w:r w:rsidRPr="00B3721A">
        <w:rPr>
          <w:rFonts w:ascii="Calibri" w:eastAsia="Calibri" w:hAnsi="Calibri" w:cs="Calibri"/>
          <w:i/>
          <w:iCs/>
          <w:color w:val="000000"/>
          <w:sz w:val="20"/>
          <w:szCs w:val="20"/>
        </w:rPr>
        <w:lastRenderedPageBreak/>
        <w:t>after their first semester with earned credits. Four categories of academic standing are established: Good, Warning, Probation, and Suspension. These categories are intended to signify a student’s progress toward graduation or to provide an opportunity for making improvements and achieving academic success.</w:t>
      </w:r>
    </w:p>
    <w:p w14:paraId="13526AFB" w14:textId="77777777" w:rsidR="00992D7B" w:rsidRDefault="00992D7B" w:rsidP="00992D7B">
      <w:pPr>
        <w:spacing w:after="30"/>
        <w:rPr>
          <w:rFonts w:ascii="Calibri" w:eastAsia="Calibri" w:hAnsi="Calibri" w:cs="Calibri"/>
          <w:color w:val="000000"/>
        </w:rPr>
      </w:pPr>
    </w:p>
    <w:p w14:paraId="2F586E0C" w14:textId="77777777" w:rsidR="007B3360" w:rsidRPr="003B4160" w:rsidRDefault="007B3360" w:rsidP="007B3360">
      <w:pPr>
        <w:spacing w:after="30"/>
        <w:rPr>
          <w:rFonts w:ascii="Calibri" w:eastAsia="Calibri" w:hAnsi="Calibri" w:cs="Calibri"/>
          <w:color w:val="000000"/>
        </w:rPr>
      </w:pPr>
    </w:p>
    <w:p w14:paraId="6660CEA5" w14:textId="77777777" w:rsidR="00992D7B" w:rsidRDefault="00992D7B" w:rsidP="00992D7B">
      <w:pPr>
        <w:rPr>
          <w:rFonts w:ascii="Calibri" w:eastAsia="Calibri" w:hAnsi="Calibri" w:cs="Calibri"/>
        </w:rPr>
      </w:pPr>
    </w:p>
    <w:p w14:paraId="2AE48701" w14:textId="77777777" w:rsidR="00992D7B" w:rsidRDefault="00992D7B" w:rsidP="00992D7B">
      <w:pPr>
        <w:rPr>
          <w:rFonts w:ascii="Calibri" w:eastAsia="Calibri" w:hAnsi="Calibri" w:cs="Calibri"/>
        </w:rPr>
      </w:pPr>
    </w:p>
    <w:p w14:paraId="365A5AD8" w14:textId="77777777" w:rsidR="0029136A" w:rsidRDefault="0029136A"/>
    <w:sectPr w:rsidR="00291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0543E"/>
    <w:multiLevelType w:val="multilevel"/>
    <w:tmpl w:val="1DB06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729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7B"/>
    <w:rsid w:val="00030797"/>
    <w:rsid w:val="000D6CE2"/>
    <w:rsid w:val="001708F5"/>
    <w:rsid w:val="00265431"/>
    <w:rsid w:val="0029136A"/>
    <w:rsid w:val="002E3159"/>
    <w:rsid w:val="003179B3"/>
    <w:rsid w:val="00393287"/>
    <w:rsid w:val="003F578D"/>
    <w:rsid w:val="00447D43"/>
    <w:rsid w:val="00575901"/>
    <w:rsid w:val="0057664E"/>
    <w:rsid w:val="00656BD1"/>
    <w:rsid w:val="006A2DAE"/>
    <w:rsid w:val="007B3360"/>
    <w:rsid w:val="007B7D7E"/>
    <w:rsid w:val="00834349"/>
    <w:rsid w:val="008D4F1C"/>
    <w:rsid w:val="00991A18"/>
    <w:rsid w:val="00992D7B"/>
    <w:rsid w:val="00AD3D6E"/>
    <w:rsid w:val="00B11AB9"/>
    <w:rsid w:val="00B3721A"/>
    <w:rsid w:val="00BA5A8E"/>
    <w:rsid w:val="00C85299"/>
    <w:rsid w:val="00CA0D41"/>
    <w:rsid w:val="00CE55B1"/>
    <w:rsid w:val="00D42EC8"/>
    <w:rsid w:val="00E454E7"/>
    <w:rsid w:val="00F3643B"/>
    <w:rsid w:val="00FC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56D0"/>
  <w15:chartTrackingRefBased/>
  <w15:docId w15:val="{DD6F2106-1F60-418E-A07C-37CEBF25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D7B"/>
    <w:pPr>
      <w:suppressAutoHyphens/>
      <w:autoSpaceDN w:val="0"/>
      <w:spacing w:line="278" w:lineRule="auto"/>
    </w:pPr>
    <w:rPr>
      <w:rFonts w:ascii="Aptos" w:eastAsia="MS Mincho" w:hAnsi="Aptos" w:cs="Arial"/>
      <w:kern w:val="0"/>
      <w:sz w:val="24"/>
      <w:szCs w:val="24"/>
      <w:lang w:eastAsia="ja-JP"/>
      <w14:ligatures w14:val="none"/>
    </w:rPr>
  </w:style>
  <w:style w:type="paragraph" w:styleId="Heading1">
    <w:name w:val="heading 1"/>
    <w:basedOn w:val="Normal"/>
    <w:next w:val="Normal"/>
    <w:link w:val="Heading1Char"/>
    <w:uiPriority w:val="9"/>
    <w:qFormat/>
    <w:rsid w:val="00992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D7B"/>
    <w:rPr>
      <w:rFonts w:eastAsiaTheme="majorEastAsia" w:cstheme="majorBidi"/>
      <w:color w:val="272727" w:themeColor="text1" w:themeTint="D8"/>
    </w:rPr>
  </w:style>
  <w:style w:type="paragraph" w:styleId="Title">
    <w:name w:val="Title"/>
    <w:basedOn w:val="Normal"/>
    <w:next w:val="Normal"/>
    <w:link w:val="TitleChar"/>
    <w:uiPriority w:val="10"/>
    <w:qFormat/>
    <w:rsid w:val="00992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D7B"/>
    <w:pPr>
      <w:spacing w:before="160"/>
      <w:jc w:val="center"/>
    </w:pPr>
    <w:rPr>
      <w:i/>
      <w:iCs/>
      <w:color w:val="404040" w:themeColor="text1" w:themeTint="BF"/>
    </w:rPr>
  </w:style>
  <w:style w:type="character" w:customStyle="1" w:styleId="QuoteChar">
    <w:name w:val="Quote Char"/>
    <w:basedOn w:val="DefaultParagraphFont"/>
    <w:link w:val="Quote"/>
    <w:uiPriority w:val="29"/>
    <w:rsid w:val="00992D7B"/>
    <w:rPr>
      <w:i/>
      <w:iCs/>
      <w:color w:val="404040" w:themeColor="text1" w:themeTint="BF"/>
    </w:rPr>
  </w:style>
  <w:style w:type="paragraph" w:styleId="ListParagraph">
    <w:name w:val="List Paragraph"/>
    <w:basedOn w:val="Normal"/>
    <w:uiPriority w:val="34"/>
    <w:qFormat/>
    <w:rsid w:val="00992D7B"/>
    <w:pPr>
      <w:ind w:left="720"/>
      <w:contextualSpacing/>
    </w:pPr>
  </w:style>
  <w:style w:type="character" w:styleId="IntenseEmphasis">
    <w:name w:val="Intense Emphasis"/>
    <w:basedOn w:val="DefaultParagraphFont"/>
    <w:uiPriority w:val="21"/>
    <w:qFormat/>
    <w:rsid w:val="00992D7B"/>
    <w:rPr>
      <w:i/>
      <w:iCs/>
      <w:color w:val="0F4761" w:themeColor="accent1" w:themeShade="BF"/>
    </w:rPr>
  </w:style>
  <w:style w:type="paragraph" w:styleId="IntenseQuote">
    <w:name w:val="Intense Quote"/>
    <w:basedOn w:val="Normal"/>
    <w:next w:val="Normal"/>
    <w:link w:val="IntenseQuoteChar"/>
    <w:uiPriority w:val="30"/>
    <w:qFormat/>
    <w:rsid w:val="00992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D7B"/>
    <w:rPr>
      <w:i/>
      <w:iCs/>
      <w:color w:val="0F4761" w:themeColor="accent1" w:themeShade="BF"/>
    </w:rPr>
  </w:style>
  <w:style w:type="character" w:styleId="IntenseReference">
    <w:name w:val="Intense Reference"/>
    <w:basedOn w:val="DefaultParagraphFont"/>
    <w:uiPriority w:val="32"/>
    <w:qFormat/>
    <w:rsid w:val="00992D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Company>Youngstown State University</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 Berardini</dc:creator>
  <cp:keywords/>
  <dc:description/>
  <cp:lastModifiedBy>Claire M Berardini</cp:lastModifiedBy>
  <cp:revision>3</cp:revision>
  <dcterms:created xsi:type="dcterms:W3CDTF">2025-04-10T15:04:00Z</dcterms:created>
  <dcterms:modified xsi:type="dcterms:W3CDTF">2025-04-10T15:04:00Z</dcterms:modified>
</cp:coreProperties>
</file>